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7" w:rsidRDefault="00E339C7" w:rsidP="009C2826">
      <w:pPr>
        <w:tabs>
          <w:tab w:val="left" w:pos="90"/>
          <w:tab w:val="left" w:pos="900"/>
        </w:tabs>
      </w:pPr>
      <w:r>
        <w:t>11</w:t>
      </w:r>
      <w:r w:rsidRPr="005535A3">
        <w:rPr>
          <w:vertAlign w:val="superscript"/>
        </w:rPr>
        <w:t>th</w:t>
      </w:r>
      <w:r>
        <w:t>-U.S. History &amp; Government</w:t>
      </w:r>
    </w:p>
    <w:p w:rsidR="00E339C7" w:rsidRDefault="00E339C7" w:rsidP="009C2826">
      <w:pPr>
        <w:tabs>
          <w:tab w:val="left" w:pos="90"/>
          <w:tab w:val="left" w:pos="900"/>
        </w:tabs>
      </w:pPr>
    </w:p>
    <w:p w:rsidR="00E339C7" w:rsidRDefault="00E339C7" w:rsidP="009C2826">
      <w:pPr>
        <w:tabs>
          <w:tab w:val="left" w:pos="90"/>
          <w:tab w:val="left" w:pos="900"/>
        </w:tabs>
        <w:jc w:val="center"/>
        <w:rPr>
          <w:b/>
          <w:bCs/>
          <w:i/>
          <w:iCs/>
          <w:sz w:val="32"/>
          <w:szCs w:val="32"/>
          <w:u w:val="single"/>
        </w:rPr>
      </w:pPr>
      <w:r w:rsidRPr="005535A3">
        <w:rPr>
          <w:b/>
          <w:bCs/>
          <w:i/>
          <w:iCs/>
          <w:sz w:val="32"/>
          <w:szCs w:val="32"/>
          <w:u w:val="single"/>
        </w:rPr>
        <w:t>Westward Expansion Key People &amp; Terms</w:t>
      </w:r>
    </w:p>
    <w:p w:rsidR="00E339C7" w:rsidRDefault="00E339C7" w:rsidP="009C2826">
      <w:pPr>
        <w:tabs>
          <w:tab w:val="left" w:pos="90"/>
          <w:tab w:val="left" w:pos="900"/>
        </w:tabs>
        <w:jc w:val="center"/>
        <w:rPr>
          <w:b/>
          <w:bCs/>
          <w:i/>
          <w:iCs/>
          <w:sz w:val="32"/>
          <w:szCs w:val="32"/>
          <w:u w:val="single"/>
        </w:rPr>
      </w:pP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smartTag w:uri="urn:schemas-microsoft-com:office:smarttags" w:element="place">
        <w:r w:rsidRPr="005535A3">
          <w:rPr>
            <w:i/>
            <w:iCs/>
            <w:u w:val="single"/>
          </w:rPr>
          <w:t>Louisiana Purchase</w:t>
        </w:r>
      </w:smartTag>
      <w:r>
        <w:t xml:space="preserve"> – (1803) Land acquired by President Jefferson that doubled the size of </w:t>
      </w:r>
      <w:r>
        <w:tab/>
        <w:t xml:space="preserve">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smartTag w:uri="urn:schemas-microsoft-com:office:smarttags" w:element="place">
        <w:smartTag w:uri="urn:schemas-microsoft-com:office:smarttags" w:element="City">
          <w:r>
            <w:rPr>
              <w:i/>
              <w:iCs/>
              <w:u w:val="single"/>
            </w:rPr>
            <w:t>Monroe</w:t>
          </w:r>
        </w:smartTag>
      </w:smartTag>
      <w:r>
        <w:rPr>
          <w:i/>
          <w:iCs/>
          <w:u w:val="single"/>
        </w:rPr>
        <w:t xml:space="preserve"> Doctrine</w:t>
      </w:r>
      <w:r>
        <w:t xml:space="preserve"> - (1823) Foreign Policy in which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told </w:t>
      </w:r>
      <w:smartTag w:uri="urn:schemas-microsoft-com:office:smarttags" w:element="place">
        <w:r>
          <w:t>Europe</w:t>
        </w:r>
      </w:smartTag>
      <w:r>
        <w:t xml:space="preserve"> to stay out of </w:t>
      </w:r>
      <w:r>
        <w:tab/>
        <w:t xml:space="preserve">political affairs in the </w:t>
      </w:r>
      <w:smartTag w:uri="urn:schemas-microsoft-com:office:smarttags" w:element="place">
        <w:r>
          <w:t>Western Hemisphere</w:t>
        </w:r>
      </w:smartTag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Manifest Destiny</w:t>
      </w:r>
      <w:r>
        <w:t xml:space="preserve"> - The belief that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had a divine right to expand from </w:t>
      </w:r>
      <w:smartTag w:uri="urn:schemas-microsoft-com:office:smarttags" w:element="place">
        <w:r>
          <w:t>Atlantic</w:t>
        </w:r>
      </w:smartTag>
      <w:r>
        <w:t xml:space="preserve"> to </w:t>
      </w:r>
      <w:r>
        <w:tab/>
        <w:t>Pacific and spread the ideals of freedom &amp; democracy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 xml:space="preserve">Abolitionist </w:t>
      </w:r>
      <w:r>
        <w:t xml:space="preserve">– A person who supported the ending of slavery 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 xml:space="preserve">Fredrick Douglass </w:t>
      </w:r>
      <w:r>
        <w:t>– A former slave who became a national figure as an abolitionist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 xml:space="preserve">Harriet Tubman </w:t>
      </w:r>
      <w:r>
        <w:t>– A former slave who helped organize the “underground railroad”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Harriet Beecher Stowe</w:t>
      </w:r>
      <w:r>
        <w:t xml:space="preserve"> - Author of the book, </w:t>
      </w:r>
      <w:r w:rsidRPr="005535A3">
        <w:rPr>
          <w:u w:val="single"/>
        </w:rPr>
        <w:t>Uncle Tom’s Cabin</w:t>
      </w:r>
      <w:r>
        <w:t xml:space="preserve">, about the harsh treatment </w:t>
      </w:r>
      <w:r>
        <w:tab/>
        <w:t>of slaves</w:t>
      </w:r>
    </w:p>
    <w:p w:rsidR="00E339C7" w:rsidRPr="005535A3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William Lloyd Garrison</w:t>
      </w:r>
      <w:r>
        <w:t xml:space="preserve"> - A leading abolitionist who published the anti-slavery newspaper, </w:t>
      </w:r>
      <w:r>
        <w:tab/>
      </w:r>
      <w:r w:rsidRPr="005535A3">
        <w:rPr>
          <w:u w:val="single"/>
        </w:rPr>
        <w:t>The Liberator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Underground Railroad</w:t>
      </w:r>
      <w:r>
        <w:t xml:space="preserve"> – A series of secret pathways and safe houses for escaping slaves </w:t>
      </w:r>
      <w:r>
        <w:tab/>
        <w:t>to make their way to the North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Lewis &amp; Clark</w:t>
      </w:r>
      <w:r>
        <w:t xml:space="preserve"> – Two men chosen by Thomas Jefferson to explore the </w:t>
      </w:r>
      <w:smartTag w:uri="urn:schemas-microsoft-com:office:smarttags" w:element="place">
        <w:r>
          <w:t>Louisiana Purchase</w:t>
        </w:r>
      </w:smartTag>
      <w:r>
        <w:t xml:space="preserve"> 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Adams-Onis Treaty</w:t>
      </w:r>
      <w:r>
        <w:t xml:space="preserve"> – (1819)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buys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 from </w:t>
      </w:r>
      <w:smartTag w:uri="urn:schemas-microsoft-com:office:smarttags" w:element="place">
        <w:smartTag w:uri="urn:schemas-microsoft-com:office:smarttags" w:element="country-region">
          <w:r>
            <w:t>Spain</w:t>
          </w:r>
        </w:smartTag>
      </w:smartTag>
      <w:r>
        <w:t xml:space="preserve"> for $5 million and sets the </w:t>
      </w:r>
      <w:r>
        <w:tab/>
        <w:t>U.S./Mexico border in the West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smartTag w:uri="urn:schemas-microsoft-com:office:smarttags" w:element="place">
        <w:r>
          <w:rPr>
            <w:i/>
            <w:iCs/>
            <w:u w:val="single"/>
          </w:rPr>
          <w:t>Oregon Trail</w:t>
        </w:r>
      </w:smartTag>
      <w:r>
        <w:t xml:space="preserve"> – passage way to the northwest from the </w:t>
      </w:r>
      <w:smartTag w:uri="urn:schemas-microsoft-com:office:smarttags" w:element="place">
        <w:r>
          <w:t>Mississippi River</w:t>
        </w:r>
      </w:smartTag>
      <w:r>
        <w:t xml:space="preserve"> to the </w:t>
      </w:r>
      <w:smartTag w:uri="urn:schemas-microsoft-com:office:smarttags" w:element="place">
        <w:r>
          <w:t xml:space="preserve">Pacific </w:t>
        </w:r>
        <w:r>
          <w:tab/>
          <w:t>ocean</w:t>
        </w:r>
      </w:smartTag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 xml:space="preserve">The </w:t>
      </w:r>
      <w:smartTag w:uri="urn:schemas-microsoft-com:office:smarttags" w:element="place">
        <w:r>
          <w:rPr>
            <w:i/>
            <w:iCs/>
            <w:u w:val="single"/>
          </w:rPr>
          <w:t>Alamo</w:t>
        </w:r>
      </w:smartTag>
      <w:r>
        <w:rPr>
          <w:i/>
          <w:iCs/>
          <w:u w:val="single"/>
        </w:rPr>
        <w:t xml:space="preserve"> </w:t>
      </w:r>
      <w:r>
        <w:t xml:space="preserve">– (1836) Famous battle in </w:t>
      </w:r>
      <w:smartTag w:uri="urn:schemas-microsoft-com:office:smarttags" w:element="place">
        <w:smartTag w:uri="urn:schemas-microsoft-com:office:smarttags" w:element="City">
          <w:r>
            <w:t>San Antonio</w:t>
          </w:r>
        </w:smartTag>
      </w:smartTag>
      <w:r>
        <w:t xml:space="preserve"> between the Texans and the Mexicans, </w:t>
      </w:r>
      <w:r>
        <w:tab/>
        <w:t>became the rallying cry in the Mexican War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Mexican Cession</w:t>
      </w:r>
      <w:r>
        <w:t xml:space="preserve"> – (1848) Plot of land received from </w:t>
      </w:r>
      <w:smartTag w:uri="urn:schemas-microsoft-com:office:smarttags" w:element="place">
        <w:smartTag w:uri="urn:schemas-microsoft-com:office:smarttags" w:element="country-region">
          <w:r>
            <w:t>Mexico</w:t>
          </w:r>
        </w:smartTag>
      </w:smartTag>
      <w:r>
        <w:t xml:space="preserve"> for $15 million that became </w:t>
      </w:r>
      <w:r>
        <w:tab/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Nevada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Utah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Arizona</w:t>
          </w:r>
        </w:smartTag>
      </w:smartTag>
      <w:r>
        <w:t xml:space="preserve">, and </w:t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smartTag w:uri="urn:schemas-microsoft-com:office:smarttags" w:element="place">
        <w:r>
          <w:rPr>
            <w:i/>
            <w:iCs/>
            <w:u w:val="single"/>
          </w:rPr>
          <w:t>Gadsden Purchase</w:t>
        </w:r>
      </w:smartTag>
      <w:r>
        <w:t xml:space="preserve"> – (1853) The land purchase in southern </w:t>
      </w:r>
      <w:smartTag w:uri="urn:schemas-microsoft-com:office:smarttags" w:element="place">
        <w:smartTag w:uri="urn:schemas-microsoft-com:office:smarttags" w:element="State">
          <w:r>
            <w:t>Arizona</w:t>
          </w:r>
        </w:smartTag>
      </w:smartTag>
      <w:r>
        <w:t xml:space="preserve"> that completed the </w:t>
      </w:r>
      <w:r>
        <w:tab/>
        <w:t xml:space="preserve">continental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Treaty of Guadalupe Hidalgo</w:t>
      </w:r>
      <w:r>
        <w:t xml:space="preserve"> – (1848) Agreement between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Mexico</w:t>
          </w:r>
        </w:smartTag>
      </w:smartTag>
      <w:r>
        <w:t xml:space="preserve"> that ended the </w:t>
      </w:r>
      <w:r>
        <w:tab/>
        <w:t xml:space="preserve">Mexican War and gave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the Mexican Cession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smartTag w:uri="urn:schemas-microsoft-com:office:smarttags" w:element="place">
        <w:smartTag w:uri="urn:schemas-microsoft-com:office:smarttags" w:element="State">
          <w:r>
            <w:rPr>
              <w:i/>
              <w:iCs/>
              <w:u w:val="single"/>
            </w:rPr>
            <w:t>Missouri</w:t>
          </w:r>
        </w:smartTag>
      </w:smartTag>
      <w:r>
        <w:rPr>
          <w:i/>
          <w:iCs/>
          <w:u w:val="single"/>
        </w:rPr>
        <w:t xml:space="preserve"> Compromise</w:t>
      </w:r>
      <w:r>
        <w:t xml:space="preserve"> – (1820) Admitted </w:t>
      </w:r>
      <w:smartTag w:uri="urn:schemas-microsoft-com:office:smarttags" w:element="place">
        <w:smartTag w:uri="urn:schemas-microsoft-com:office:smarttags" w:element="State">
          <w:r>
            <w:t>Missouri</w:t>
          </w:r>
        </w:smartTag>
      </w:smartTag>
      <w:r>
        <w:t xml:space="preserve"> into the union as a slave state and </w:t>
      </w:r>
      <w:r>
        <w:tab/>
      </w: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  <w:r>
        <w:t xml:space="preserve"> as a </w:t>
      </w:r>
      <w:smartTag w:uri="urn:schemas-microsoft-com:office:smarttags" w:element="place">
        <w:smartTag w:uri="urn:schemas-microsoft-com:office:smarttags" w:element="State">
          <w:r>
            <w:t>free state</w:t>
          </w:r>
        </w:smartTag>
      </w:smartTag>
      <w:r>
        <w:t xml:space="preserve"> and banned slavery in the rest of the </w:t>
      </w:r>
      <w:smartTag w:uri="urn:schemas-microsoft-com:office:smarttags" w:element="place">
        <w:smartTag w:uri="urn:schemas-microsoft-com:office:smarttags" w:element="PlaceName">
          <w:r>
            <w:t>Louisiana</w:t>
          </w:r>
        </w:smartTag>
        <w:r>
          <w:t xml:space="preserve"> </w:t>
        </w:r>
        <w:smartTag w:uri="urn:schemas-microsoft-com:office:smarttags" w:element="PlaceType">
          <w:r>
            <w:t>Territory</w:t>
          </w:r>
        </w:smartTag>
      </w:smartTag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Compromise of 1850</w:t>
      </w:r>
      <w:r>
        <w:t xml:space="preserve"> – Compromise that admitted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as a </w:t>
      </w:r>
      <w:smartTag w:uri="urn:schemas-microsoft-com:office:smarttags" w:element="place">
        <w:smartTag w:uri="urn:schemas-microsoft-com:office:smarttags" w:element="State">
          <w:r>
            <w:t>free state</w:t>
          </w:r>
        </w:smartTag>
      </w:smartTag>
      <w:r>
        <w:t xml:space="preserve"> and allowing </w:t>
      </w:r>
      <w:r>
        <w:tab/>
        <w:t xml:space="preserve">popular sovereignty to decide on slavery in the rest of the territories while also passing a </w:t>
      </w:r>
      <w:r>
        <w:tab/>
        <w:t>fugitive slave law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Popular Sovereignty</w:t>
      </w:r>
      <w:r>
        <w:t xml:space="preserve"> – The concept that people have to power to make decisions </w:t>
      </w:r>
      <w:r>
        <w:tab/>
        <w:t>democratically by way of voting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Gold Rush</w:t>
      </w:r>
      <w:r>
        <w:t xml:space="preserve"> – Discovery of Gold in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in 1848 caused the population to increase over </w:t>
      </w:r>
      <w:r>
        <w:tab/>
        <w:t>100,000 in one year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Fugitive Slave Law</w:t>
      </w:r>
      <w:r>
        <w:t xml:space="preserve"> – As part of the Compromise of 1850, required escaped slaves to be </w:t>
      </w:r>
      <w:r>
        <w:tab/>
        <w:t>returned to their owners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Kansas-Nebraska Act</w:t>
      </w:r>
      <w:r>
        <w:rPr>
          <w:u w:val="single"/>
        </w:rPr>
        <w:t xml:space="preserve"> </w:t>
      </w:r>
      <w:r>
        <w:t xml:space="preserve"> - (1854) </w:t>
      </w:r>
      <w:smartTag w:uri="urn:schemas-microsoft-com:office:smarttags" w:element="place">
        <w:smartTag w:uri="urn:schemas-microsoft-com:office:smarttags" w:element="State">
          <w:r>
            <w:t>Kansas</w:t>
          </w:r>
        </w:smartTag>
      </w:smartTag>
      <w:r>
        <w:t xml:space="preserve"> and </w:t>
      </w:r>
      <w:smartTag w:uri="urn:schemas-microsoft-com:office:smarttags" w:element="place">
        <w:smartTag w:uri="urn:schemas-microsoft-com:office:smarttags" w:element="State">
          <w:r>
            <w:t>Nebraska</w:t>
          </w:r>
        </w:smartTag>
      </w:smartTag>
      <w:r>
        <w:t xml:space="preserve"> territories were formed, and popular </w:t>
      </w:r>
      <w:r>
        <w:tab/>
        <w:t>sovereignty would decide the fate of slavery in each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 xml:space="preserve">Bleeding </w:t>
      </w:r>
      <w:smartTag w:uri="urn:schemas-microsoft-com:office:smarttags" w:element="place">
        <w:smartTag w:uri="urn:schemas-microsoft-com:office:smarttags" w:element="State">
          <w:r>
            <w:rPr>
              <w:i/>
              <w:iCs/>
              <w:u w:val="single"/>
            </w:rPr>
            <w:t>Kansas</w:t>
          </w:r>
        </w:smartTag>
      </w:smartTag>
      <w:r>
        <w:t xml:space="preserve"> – Pro-slavery and Anti-Slavery groups rushed to populate </w:t>
      </w:r>
      <w:smartTag w:uri="urn:schemas-microsoft-com:office:smarttags" w:element="place">
        <w:smartTag w:uri="urn:schemas-microsoft-com:office:smarttags" w:element="State">
          <w:r>
            <w:t>Kansas</w:t>
          </w:r>
        </w:smartTag>
      </w:smartTag>
      <w:r>
        <w:t xml:space="preserve"> and </w:t>
      </w:r>
      <w:r>
        <w:tab/>
        <w:t>decide the future of slavery causing extreme violence to break out</w:t>
      </w:r>
    </w:p>
    <w:p w:rsidR="00E339C7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Dred Scott Decision</w:t>
      </w:r>
      <w:r>
        <w:t xml:space="preserve"> – (1857) Supreme Court decision that slaves are a form of property </w:t>
      </w:r>
      <w:r>
        <w:tab/>
        <w:t>and that the Government cannot deprive a person of his private property</w:t>
      </w:r>
    </w:p>
    <w:p w:rsidR="00E339C7" w:rsidRPr="005535A3" w:rsidRDefault="00E339C7" w:rsidP="00A55C83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line="360" w:lineRule="auto"/>
      </w:pPr>
      <w:r>
        <w:rPr>
          <w:i/>
          <w:iCs/>
          <w:u w:val="single"/>
        </w:rPr>
        <w:t>Wilmot Proviso</w:t>
      </w:r>
      <w:r>
        <w:t xml:space="preserve"> – A proposed law by northerners to outlaw slavery in any new territory </w:t>
      </w:r>
      <w:r>
        <w:tab/>
        <w:t>acquired in the Mexican War which was eventually voted down</w:t>
      </w:r>
    </w:p>
    <w:sectPr w:rsidR="00E339C7" w:rsidRPr="005535A3" w:rsidSect="005535A3">
      <w:pgSz w:w="12240" w:h="15840"/>
      <w:pgMar w:top="63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101"/>
    <w:multiLevelType w:val="hybridMultilevel"/>
    <w:tmpl w:val="D03C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5A3"/>
    <w:rsid w:val="000075CA"/>
    <w:rsid w:val="00276D59"/>
    <w:rsid w:val="003A1912"/>
    <w:rsid w:val="004C0BF2"/>
    <w:rsid w:val="004C2A9F"/>
    <w:rsid w:val="005535A3"/>
    <w:rsid w:val="005540BD"/>
    <w:rsid w:val="008C3BCA"/>
    <w:rsid w:val="009C2826"/>
    <w:rsid w:val="00A55C83"/>
    <w:rsid w:val="00AE31A6"/>
    <w:rsid w:val="00E339C7"/>
    <w:rsid w:val="00FC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3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461</Words>
  <Characters>2631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11th-U</dc:title>
  <dc:subject/>
  <dc:creator>Kelliann Davis</dc:creator>
  <cp:keywords/>
  <dc:description/>
  <cp:lastModifiedBy>wcsd</cp:lastModifiedBy>
  <cp:revision>2</cp:revision>
  <cp:lastPrinted>2012-11-27T14:04:00Z</cp:lastPrinted>
  <dcterms:created xsi:type="dcterms:W3CDTF">2012-11-27T15:37:00Z</dcterms:created>
  <dcterms:modified xsi:type="dcterms:W3CDTF">2012-11-27T15:37:00Z</dcterms:modified>
</cp:coreProperties>
</file>